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5214FF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Право законодательной инициативы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" w:eastAsia="Times New Roman" w:hAnsi="Times" w:cs="Times"/>
          <w:b/>
          <w:bCs/>
          <w:color w:val="222222"/>
          <w:sz w:val="27"/>
          <w:szCs w:val="27"/>
          <w:lang w:eastAsia="ru-RU"/>
        </w:rPr>
      </w:pPr>
      <w:r w:rsidRPr="005214FF">
        <w:rPr>
          <w:rFonts w:ascii="Times" w:eastAsia="Times New Roman" w:hAnsi="Times" w:cs="Times"/>
          <w:b/>
          <w:bCs/>
          <w:color w:val="222222"/>
          <w:sz w:val="27"/>
          <w:szCs w:val="27"/>
          <w:lang w:eastAsia="ru-RU"/>
        </w:rPr>
        <w:t>В соответствии со статьей 75 Устава (Основного Закона) Алтайского края правом законодательной инициативы в Алтайском краевом Законодательном Собрании обладают: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депутаты (депутат) Алтайского краевого Законодательного Собрания,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постоянные депутатские объединения, постоянные комитеты и комиссии Алтайского краевого Законодательного Собрания,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Губернатор Алтайского края,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Правительство Алтайского края,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представительные органы местного самоуправления,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избиратели Алтайского края в количестве не менее одного процента общего их числа,  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сенаторы Совета Федерации - представители от Алтайского краевого Законодательного Собрания и Правительства Алтайского края.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Право законодательной инициативы принадлежит также Уполномоченному по правам человека в Алтайском крае, Уполномоченному по защите прав предпринимателей в Алтайском крае, Уполномоченному по правам ребенка в Алтайском крае, прокурору Алтайского края, Общественной палате Алтайского края, Алтайскому краевому объединению организаций профсоюзов и Избирательной комиссии Алтайского края по вопросам их ведения.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Право законодательной инициативы избирателями Алтайского края реализуется в порядке краевой народной законодательной инициативы в соответствии со статьей 58 Устава (Основного Закона) Алтайского края и законом Алтайского края от 1 февраля 2002 года № 3-ЗС «О народной законодательной инициативе».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Народная законодательная инициатива является формой непосредственного осуществления жителями Алтайского края государственной власти посредством подготовки и представления в Алтайское краевое Законодательное Собрание проекта закона Алтайского края или проекта постановления Алтайского краевого Законодательного Собрания для последующего его рассмотрения Алтайским краевым Законодательным Собранием.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Ходатайство перед Алтайским краевым Законодательным Собранием о возбуждении процедуры народной законодательной инициативы должны поддержать не менее 300 граждан, проживающих на территории Алтайского края и обладающих активным избирательным правом.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Представление проекта нормативного правового акта для рассмотрения и принятия Алтайским краевым Законодательным Собранием производится при поддержке его избиратели Алтайского края в количестве не менее одного процента общего их числа, определяемого в соответствии с государственной системой регистрации (учета) избирателей в Российской Федерации.</w:t>
      </w:r>
    </w:p>
    <w:p w:rsidR="005214FF" w:rsidRPr="005214FF" w:rsidRDefault="005214FF" w:rsidP="005214F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214F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Право законодательной инициативы иными субъектами реализуется посредством подготовки и внесения на рассмотрение Алтайского краевого Законодательного Собрания проектов законов Алтайского края и проектов постановлений Алтайского краевого Законодательного Собрания в порядке, установленном законом Алтайского края от 9 ноября 2006 года № 122-ЗС «О правотворческой деятельности» и Регламентом Алтайского краевого Законодательного Собрания.</w:t>
      </w:r>
    </w:p>
    <w:p w:rsidR="000D11FF" w:rsidRPr="005214FF" w:rsidRDefault="000D11FF">
      <w:pPr>
        <w:rPr>
          <w:lang w:val="en-US"/>
        </w:rPr>
      </w:pPr>
      <w:bookmarkStart w:id="0" w:name="_GoBack"/>
      <w:bookmarkEnd w:id="0"/>
    </w:p>
    <w:sectPr w:rsidR="000D11FF" w:rsidRPr="0052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FF"/>
    <w:rsid w:val="000D11FF"/>
    <w:rsid w:val="005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178B-09CD-4A9F-803A-B5D9320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1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14FF"/>
    <w:rPr>
      <w:b/>
      <w:bCs/>
    </w:rPr>
  </w:style>
  <w:style w:type="paragraph" w:styleId="a4">
    <w:name w:val="Normal (Web)"/>
    <w:basedOn w:val="a"/>
    <w:uiPriority w:val="99"/>
    <w:semiHidden/>
    <w:unhideWhenUsed/>
    <w:rsid w:val="0052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2022-08-04T06:17:00Z</dcterms:created>
  <dcterms:modified xsi:type="dcterms:W3CDTF">2022-08-04T06:17:00Z</dcterms:modified>
</cp:coreProperties>
</file>